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777600" w:rsidRPr="00777600" w:rsidRDefault="00777600"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F30312" w:rsidRPr="00777600" w:rsidRDefault="00F30312" w:rsidP="00777600">
      <w:pPr>
        <w:spacing w:line="480" w:lineRule="auto"/>
        <w:jc w:val="center"/>
        <w:rPr>
          <w:rFonts w:ascii="Times New Roman" w:hAnsi="Times New Roman" w:cs="Times New Roman"/>
          <w:sz w:val="24"/>
          <w:szCs w:val="24"/>
        </w:rPr>
      </w:pPr>
      <w:r w:rsidRPr="00777600">
        <w:rPr>
          <w:rFonts w:ascii="Times New Roman" w:hAnsi="Times New Roman" w:cs="Times New Roman"/>
          <w:sz w:val="24"/>
          <w:szCs w:val="24"/>
        </w:rPr>
        <w:t>Conflict Interests</w:t>
      </w:r>
    </w:p>
    <w:p w:rsidR="009F43D7" w:rsidRPr="00777600" w:rsidRDefault="009F43D7" w:rsidP="00777600">
      <w:pPr>
        <w:spacing w:line="480" w:lineRule="auto"/>
        <w:jc w:val="center"/>
        <w:rPr>
          <w:rFonts w:ascii="Times New Roman" w:hAnsi="Times New Roman" w:cs="Times New Roman"/>
          <w:sz w:val="24"/>
          <w:szCs w:val="24"/>
        </w:rPr>
      </w:pPr>
      <w:r w:rsidRPr="00777600">
        <w:rPr>
          <w:rFonts w:ascii="Times New Roman" w:hAnsi="Times New Roman" w:cs="Times New Roman"/>
          <w:sz w:val="24"/>
          <w:szCs w:val="24"/>
        </w:rPr>
        <w:t xml:space="preserve">Name </w:t>
      </w:r>
    </w:p>
    <w:p w:rsidR="009F43D7" w:rsidRPr="00777600" w:rsidRDefault="009F43D7" w:rsidP="00777600">
      <w:pPr>
        <w:spacing w:line="480" w:lineRule="auto"/>
        <w:jc w:val="center"/>
        <w:rPr>
          <w:rFonts w:ascii="Times New Roman" w:hAnsi="Times New Roman" w:cs="Times New Roman"/>
          <w:sz w:val="24"/>
          <w:szCs w:val="24"/>
        </w:rPr>
      </w:pPr>
      <w:r w:rsidRPr="00777600">
        <w:rPr>
          <w:rFonts w:ascii="Times New Roman" w:hAnsi="Times New Roman" w:cs="Times New Roman"/>
          <w:sz w:val="24"/>
          <w:szCs w:val="24"/>
        </w:rPr>
        <w:t xml:space="preserve">Institutional Affiliation </w:t>
      </w: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jc w:val="center"/>
        <w:rPr>
          <w:rFonts w:ascii="Times New Roman" w:hAnsi="Times New Roman" w:cs="Times New Roman"/>
          <w:sz w:val="24"/>
          <w:szCs w:val="24"/>
        </w:rPr>
      </w:pPr>
    </w:p>
    <w:p w:rsidR="009F43D7" w:rsidRPr="00777600" w:rsidRDefault="009F43D7" w:rsidP="00777600">
      <w:pPr>
        <w:spacing w:line="480" w:lineRule="auto"/>
        <w:rPr>
          <w:rFonts w:ascii="Times New Roman" w:hAnsi="Times New Roman" w:cs="Times New Roman"/>
          <w:sz w:val="24"/>
          <w:szCs w:val="24"/>
        </w:rPr>
      </w:pPr>
    </w:p>
    <w:p w:rsidR="00777600" w:rsidRPr="00777600" w:rsidRDefault="00777600" w:rsidP="00777600">
      <w:pPr>
        <w:spacing w:line="480" w:lineRule="auto"/>
        <w:rPr>
          <w:rFonts w:ascii="Times New Roman" w:hAnsi="Times New Roman" w:cs="Times New Roman"/>
          <w:sz w:val="24"/>
          <w:szCs w:val="24"/>
        </w:rPr>
      </w:pPr>
    </w:p>
    <w:p w:rsidR="00777600" w:rsidRDefault="009F43D7" w:rsidP="00777600">
      <w:pPr>
        <w:spacing w:line="480" w:lineRule="auto"/>
        <w:jc w:val="center"/>
        <w:rPr>
          <w:rFonts w:ascii="Times New Roman" w:hAnsi="Times New Roman" w:cs="Times New Roman"/>
          <w:sz w:val="24"/>
          <w:szCs w:val="24"/>
        </w:rPr>
      </w:pPr>
      <w:r w:rsidRPr="00777600">
        <w:rPr>
          <w:rFonts w:ascii="Times New Roman" w:hAnsi="Times New Roman" w:cs="Times New Roman"/>
          <w:sz w:val="24"/>
          <w:szCs w:val="24"/>
        </w:rPr>
        <w:lastRenderedPageBreak/>
        <w:t xml:space="preserve">A </w:t>
      </w:r>
      <w:r w:rsidR="00777600" w:rsidRPr="00777600">
        <w:rPr>
          <w:rFonts w:ascii="Times New Roman" w:hAnsi="Times New Roman" w:cs="Times New Roman"/>
          <w:sz w:val="24"/>
          <w:szCs w:val="24"/>
        </w:rPr>
        <w:t>D</w:t>
      </w:r>
      <w:r w:rsidRPr="00777600">
        <w:rPr>
          <w:rFonts w:ascii="Times New Roman" w:hAnsi="Times New Roman" w:cs="Times New Roman"/>
          <w:sz w:val="24"/>
          <w:szCs w:val="24"/>
        </w:rPr>
        <w:t xml:space="preserve">escription of Conflict of Interests </w:t>
      </w:r>
    </w:p>
    <w:p w:rsidR="00653EA5" w:rsidRPr="00777600" w:rsidRDefault="00653EA5" w:rsidP="00777600">
      <w:pPr>
        <w:spacing w:line="480" w:lineRule="auto"/>
        <w:jc w:val="center"/>
        <w:rPr>
          <w:rFonts w:ascii="Times New Roman" w:hAnsi="Times New Roman" w:cs="Times New Roman"/>
          <w:sz w:val="24"/>
          <w:szCs w:val="24"/>
        </w:rPr>
      </w:pPr>
      <w:bookmarkStart w:id="0" w:name="_GoBack"/>
      <w:bookmarkEnd w:id="0"/>
      <w:r w:rsidRPr="00777600">
        <w:rPr>
          <w:rFonts w:ascii="Times New Roman" w:hAnsi="Times New Roman" w:cs="Times New Roman"/>
          <w:b/>
          <w:sz w:val="24"/>
          <w:szCs w:val="24"/>
        </w:rPr>
        <w:t xml:space="preserve">Theory </w:t>
      </w:r>
    </w:p>
    <w:p w:rsidR="00F30312" w:rsidRPr="00777600" w:rsidRDefault="00F30312" w:rsidP="00777600">
      <w:pPr>
        <w:spacing w:line="480" w:lineRule="auto"/>
        <w:rPr>
          <w:rFonts w:ascii="Times New Roman" w:hAnsi="Times New Roman" w:cs="Times New Roman"/>
          <w:sz w:val="24"/>
          <w:szCs w:val="24"/>
        </w:rPr>
      </w:pPr>
      <w:r w:rsidRPr="00777600">
        <w:rPr>
          <w:rFonts w:ascii="Times New Roman" w:hAnsi="Times New Roman" w:cs="Times New Roman"/>
          <w:sz w:val="24"/>
          <w:szCs w:val="24"/>
        </w:rPr>
        <w:t xml:space="preserve">The Conflict of Interest Theory analysis about multiple interests and states that serving one interest based on tastes and preferences could be the best option ever. </w:t>
      </w:r>
    </w:p>
    <w:p w:rsidR="00653EA5" w:rsidRPr="00777600" w:rsidRDefault="00653EA5" w:rsidP="00777600">
      <w:pPr>
        <w:spacing w:line="480" w:lineRule="auto"/>
        <w:rPr>
          <w:rFonts w:ascii="Times New Roman" w:hAnsi="Times New Roman" w:cs="Times New Roman"/>
          <w:b/>
          <w:sz w:val="24"/>
          <w:szCs w:val="24"/>
        </w:rPr>
      </w:pPr>
      <w:r w:rsidRPr="00777600">
        <w:rPr>
          <w:rFonts w:ascii="Times New Roman" w:hAnsi="Times New Roman" w:cs="Times New Roman"/>
          <w:b/>
          <w:sz w:val="24"/>
          <w:szCs w:val="24"/>
        </w:rPr>
        <w:t xml:space="preserve">Causes </w:t>
      </w:r>
    </w:p>
    <w:p w:rsidR="00653EA5" w:rsidRPr="00777600" w:rsidRDefault="00A14F17" w:rsidP="00777600">
      <w:pPr>
        <w:spacing w:line="480" w:lineRule="auto"/>
        <w:rPr>
          <w:rFonts w:ascii="Times New Roman" w:hAnsi="Times New Roman" w:cs="Times New Roman"/>
          <w:sz w:val="24"/>
          <w:szCs w:val="24"/>
        </w:rPr>
      </w:pPr>
      <w:r w:rsidRPr="00777600">
        <w:rPr>
          <w:rFonts w:ascii="Times New Roman" w:hAnsi="Times New Roman" w:cs="Times New Roman"/>
          <w:sz w:val="24"/>
          <w:szCs w:val="24"/>
        </w:rPr>
        <w:t xml:space="preserve">The conflicts of interest are witnessed as a result of people that owe ethical duties towards other appear to have self-interests that results to a likelihood of subordinating those responsibilities to their personal concerns. </w:t>
      </w:r>
      <w:r w:rsidR="00653EA5" w:rsidRPr="00777600">
        <w:rPr>
          <w:rFonts w:ascii="Times New Roman" w:hAnsi="Times New Roman" w:cs="Times New Roman"/>
          <w:sz w:val="24"/>
          <w:szCs w:val="24"/>
        </w:rPr>
        <w:t xml:space="preserve">The conflicts are also witnessed, for example, when medical officers refer their patients to other doctors in consideration of disburse of money and also when they earn secondary incomes in which they get a share of interests after investment. Additionally, sponsors dealing with finances </w:t>
      </w:r>
      <w:r w:rsidR="00123620" w:rsidRPr="00777600">
        <w:rPr>
          <w:rFonts w:ascii="Times New Roman" w:hAnsi="Times New Roman" w:cs="Times New Roman"/>
          <w:sz w:val="24"/>
          <w:szCs w:val="24"/>
        </w:rPr>
        <w:t>may expose researchers in conflict of interests based on subjects of research. Appropriate disposer may be an action taken to resolve conflicts of interest are difficult to escape.</w:t>
      </w:r>
    </w:p>
    <w:p w:rsidR="00123620" w:rsidRPr="00777600" w:rsidRDefault="00123620" w:rsidP="00777600">
      <w:pPr>
        <w:spacing w:line="480" w:lineRule="auto"/>
        <w:rPr>
          <w:rFonts w:ascii="Times New Roman" w:hAnsi="Times New Roman" w:cs="Times New Roman"/>
          <w:b/>
          <w:sz w:val="24"/>
          <w:szCs w:val="24"/>
        </w:rPr>
      </w:pPr>
      <w:r w:rsidRPr="00777600">
        <w:rPr>
          <w:rFonts w:ascii="Times New Roman" w:hAnsi="Times New Roman" w:cs="Times New Roman"/>
          <w:b/>
          <w:sz w:val="24"/>
          <w:szCs w:val="24"/>
        </w:rPr>
        <w:t xml:space="preserve">Types </w:t>
      </w:r>
    </w:p>
    <w:p w:rsidR="00123620" w:rsidRPr="00777600" w:rsidRDefault="00123620" w:rsidP="00777600">
      <w:pPr>
        <w:spacing w:line="480" w:lineRule="auto"/>
        <w:rPr>
          <w:rFonts w:ascii="Times New Roman" w:hAnsi="Times New Roman" w:cs="Times New Roman"/>
          <w:sz w:val="24"/>
          <w:szCs w:val="24"/>
        </w:rPr>
      </w:pPr>
      <w:r w:rsidRPr="00777600">
        <w:rPr>
          <w:rFonts w:ascii="Times New Roman" w:hAnsi="Times New Roman" w:cs="Times New Roman"/>
          <w:sz w:val="24"/>
          <w:szCs w:val="24"/>
        </w:rPr>
        <w:t>The three categories of conflict of interest are Actual Conflict of Interest, Potential Conflict of Interest, and Perceived Conflict of Interest.</w:t>
      </w:r>
    </w:p>
    <w:p w:rsidR="005C1DA3" w:rsidRPr="00777600" w:rsidRDefault="005C1DA3" w:rsidP="00777600">
      <w:pPr>
        <w:spacing w:line="480" w:lineRule="auto"/>
        <w:rPr>
          <w:rFonts w:ascii="Times New Roman" w:hAnsi="Times New Roman" w:cs="Times New Roman"/>
          <w:b/>
          <w:sz w:val="24"/>
          <w:szCs w:val="24"/>
        </w:rPr>
      </w:pPr>
      <w:r w:rsidRPr="00777600">
        <w:rPr>
          <w:rFonts w:ascii="Times New Roman" w:hAnsi="Times New Roman" w:cs="Times New Roman"/>
          <w:b/>
          <w:sz w:val="24"/>
          <w:szCs w:val="24"/>
        </w:rPr>
        <w:t xml:space="preserve">Legal Aspects </w:t>
      </w:r>
    </w:p>
    <w:p w:rsidR="005C1DA3" w:rsidRPr="00777600" w:rsidRDefault="005C1DA3" w:rsidP="00777600">
      <w:pPr>
        <w:spacing w:line="480" w:lineRule="auto"/>
        <w:rPr>
          <w:rFonts w:ascii="Times New Roman" w:hAnsi="Times New Roman" w:cs="Times New Roman"/>
          <w:sz w:val="24"/>
          <w:szCs w:val="24"/>
        </w:rPr>
      </w:pPr>
      <w:r w:rsidRPr="00777600">
        <w:rPr>
          <w:rFonts w:ascii="Times New Roman" w:hAnsi="Times New Roman" w:cs="Times New Roman"/>
          <w:sz w:val="24"/>
          <w:szCs w:val="24"/>
        </w:rPr>
        <w:t>For the functioning of this act, a civil servant is involved in a conflict of interest when they exercises office duty, power or function to provide an opportunity to further their personal considerations or those of their close relatives or friends.</w:t>
      </w:r>
      <w:r w:rsidR="007E307A" w:rsidRPr="00777600">
        <w:rPr>
          <w:rFonts w:ascii="Times New Roman" w:hAnsi="Times New Roman" w:cs="Times New Roman"/>
          <w:sz w:val="24"/>
          <w:szCs w:val="24"/>
        </w:rPr>
        <w:t xml:space="preserve"> </w:t>
      </w:r>
      <w:r w:rsidR="007E307A" w:rsidRPr="00777600">
        <w:rPr>
          <w:rFonts w:ascii="Times New Roman" w:hAnsi="Times New Roman" w:cs="Times New Roman"/>
          <w:sz w:val="24"/>
          <w:szCs w:val="24"/>
        </w:rPr>
        <w:t>Some of legal Aspects include Insider Information, Influence, Gift and other advantages, Decision-Making, and Preferential Treatment.</w:t>
      </w:r>
    </w:p>
    <w:p w:rsidR="007E307A" w:rsidRPr="00777600" w:rsidRDefault="007E307A" w:rsidP="00777600">
      <w:pPr>
        <w:spacing w:line="480" w:lineRule="auto"/>
        <w:rPr>
          <w:rFonts w:ascii="Times New Roman" w:hAnsi="Times New Roman" w:cs="Times New Roman"/>
          <w:b/>
          <w:sz w:val="24"/>
          <w:szCs w:val="24"/>
        </w:rPr>
      </w:pPr>
      <w:r w:rsidRPr="00777600">
        <w:rPr>
          <w:rFonts w:ascii="Times New Roman" w:hAnsi="Times New Roman" w:cs="Times New Roman"/>
          <w:b/>
          <w:sz w:val="24"/>
          <w:szCs w:val="24"/>
        </w:rPr>
        <w:t xml:space="preserve">Ethical Dilemma </w:t>
      </w:r>
    </w:p>
    <w:p w:rsidR="00920B1B" w:rsidRPr="00777600" w:rsidRDefault="007E307A" w:rsidP="00777600">
      <w:pPr>
        <w:spacing w:line="480" w:lineRule="auto"/>
        <w:rPr>
          <w:rFonts w:ascii="Times New Roman" w:hAnsi="Times New Roman" w:cs="Times New Roman"/>
          <w:sz w:val="24"/>
          <w:szCs w:val="24"/>
        </w:rPr>
      </w:pPr>
      <w:r w:rsidRPr="00777600">
        <w:rPr>
          <w:rFonts w:ascii="Times New Roman" w:hAnsi="Times New Roman" w:cs="Times New Roman"/>
          <w:sz w:val="24"/>
          <w:szCs w:val="24"/>
        </w:rPr>
        <w:lastRenderedPageBreak/>
        <w:t xml:space="preserve">An ethical dilemma is explained by the case study of Sam and Sally who work in the same accounting firm they indulge into a romantic relationship outside work and questions are tabled and answers provided accordingly. </w:t>
      </w:r>
    </w:p>
    <w:p w:rsidR="007E307A" w:rsidRPr="00777600" w:rsidRDefault="007E307A" w:rsidP="00777600">
      <w:pPr>
        <w:spacing w:line="480" w:lineRule="auto"/>
        <w:rPr>
          <w:rFonts w:ascii="Times New Roman" w:hAnsi="Times New Roman" w:cs="Times New Roman"/>
          <w:sz w:val="24"/>
          <w:szCs w:val="24"/>
        </w:rPr>
      </w:pPr>
      <w:r w:rsidRPr="00777600">
        <w:rPr>
          <w:rFonts w:ascii="Times New Roman" w:hAnsi="Times New Roman" w:cs="Times New Roman"/>
          <w:b/>
          <w:sz w:val="24"/>
          <w:szCs w:val="24"/>
        </w:rPr>
        <w:t>General Principles for Dealing with COI</w:t>
      </w:r>
      <w:r w:rsidRPr="00777600">
        <w:rPr>
          <w:rFonts w:ascii="Times New Roman" w:hAnsi="Times New Roman" w:cs="Times New Roman"/>
          <w:sz w:val="24"/>
          <w:szCs w:val="24"/>
        </w:rPr>
        <w:t>.</w:t>
      </w:r>
    </w:p>
    <w:p w:rsidR="007E307A" w:rsidRPr="00777600" w:rsidRDefault="007E307A" w:rsidP="00777600">
      <w:pPr>
        <w:spacing w:line="480" w:lineRule="auto"/>
        <w:rPr>
          <w:rFonts w:ascii="Times New Roman" w:hAnsi="Times New Roman" w:cs="Times New Roman"/>
          <w:sz w:val="24"/>
          <w:szCs w:val="24"/>
        </w:rPr>
      </w:pPr>
      <w:r w:rsidRPr="00777600">
        <w:rPr>
          <w:rFonts w:ascii="Times New Roman" w:hAnsi="Times New Roman" w:cs="Times New Roman"/>
          <w:sz w:val="24"/>
          <w:szCs w:val="24"/>
        </w:rPr>
        <w:t>There are five suggested seque</w:t>
      </w:r>
      <w:r w:rsidR="009F43D7" w:rsidRPr="00777600">
        <w:rPr>
          <w:rFonts w:ascii="Times New Roman" w:hAnsi="Times New Roman" w:cs="Times New Roman"/>
          <w:sz w:val="24"/>
          <w:szCs w:val="24"/>
        </w:rPr>
        <w:t>nce of events that are used to</w:t>
      </w:r>
      <w:r w:rsidRPr="00777600">
        <w:rPr>
          <w:rFonts w:ascii="Times New Roman" w:hAnsi="Times New Roman" w:cs="Times New Roman"/>
          <w:sz w:val="24"/>
          <w:szCs w:val="24"/>
        </w:rPr>
        <w:t xml:space="preserve"> prove helpful to deal with Conflict of Interests. </w:t>
      </w:r>
    </w:p>
    <w:p w:rsidR="009F43D7" w:rsidRPr="00777600" w:rsidRDefault="009F43D7" w:rsidP="00777600">
      <w:pPr>
        <w:spacing w:line="480" w:lineRule="auto"/>
        <w:rPr>
          <w:rFonts w:ascii="Times New Roman" w:hAnsi="Times New Roman" w:cs="Times New Roman"/>
          <w:b/>
          <w:sz w:val="24"/>
          <w:szCs w:val="24"/>
        </w:rPr>
      </w:pPr>
      <w:r w:rsidRPr="00777600">
        <w:rPr>
          <w:rFonts w:ascii="Times New Roman" w:hAnsi="Times New Roman" w:cs="Times New Roman"/>
          <w:b/>
          <w:sz w:val="24"/>
          <w:szCs w:val="24"/>
        </w:rPr>
        <w:t>Steps for Dealing with Conflicts of Interests</w:t>
      </w:r>
    </w:p>
    <w:p w:rsidR="009F43D7" w:rsidRPr="00777600" w:rsidRDefault="009F43D7" w:rsidP="00777600">
      <w:pPr>
        <w:spacing w:line="480" w:lineRule="auto"/>
        <w:rPr>
          <w:rFonts w:ascii="Times New Roman" w:hAnsi="Times New Roman" w:cs="Times New Roman"/>
          <w:sz w:val="24"/>
          <w:szCs w:val="24"/>
        </w:rPr>
      </w:pPr>
      <w:r w:rsidRPr="00777600">
        <w:rPr>
          <w:rFonts w:ascii="Times New Roman" w:hAnsi="Times New Roman" w:cs="Times New Roman"/>
          <w:sz w:val="24"/>
          <w:szCs w:val="24"/>
        </w:rPr>
        <w:t xml:space="preserve">There are usually eight accredited steps that should be cleared followed to resolve or mitigate the conflict of interest. </w:t>
      </w:r>
    </w:p>
    <w:p w:rsidR="009F43D7" w:rsidRPr="00777600" w:rsidRDefault="009F43D7" w:rsidP="00777600">
      <w:pPr>
        <w:spacing w:line="480" w:lineRule="auto"/>
        <w:rPr>
          <w:rFonts w:ascii="Times New Roman" w:hAnsi="Times New Roman" w:cs="Times New Roman"/>
          <w:b/>
          <w:sz w:val="24"/>
          <w:szCs w:val="24"/>
        </w:rPr>
      </w:pPr>
    </w:p>
    <w:p w:rsidR="009F43D7" w:rsidRPr="00777600" w:rsidRDefault="009F43D7" w:rsidP="00777600">
      <w:pPr>
        <w:spacing w:line="480" w:lineRule="auto"/>
        <w:rPr>
          <w:rFonts w:ascii="Times New Roman" w:hAnsi="Times New Roman" w:cs="Times New Roman"/>
          <w:b/>
          <w:sz w:val="24"/>
          <w:szCs w:val="24"/>
        </w:rPr>
      </w:pPr>
    </w:p>
    <w:p w:rsidR="009F43D7" w:rsidRPr="00777600" w:rsidRDefault="009F43D7" w:rsidP="00777600">
      <w:pPr>
        <w:spacing w:line="480" w:lineRule="auto"/>
        <w:rPr>
          <w:rFonts w:ascii="Times New Roman" w:hAnsi="Times New Roman" w:cs="Times New Roman"/>
          <w:b/>
          <w:sz w:val="24"/>
          <w:szCs w:val="24"/>
        </w:rPr>
      </w:pPr>
    </w:p>
    <w:p w:rsidR="009F43D7" w:rsidRPr="00777600" w:rsidRDefault="009F43D7" w:rsidP="00777600">
      <w:pPr>
        <w:spacing w:line="480" w:lineRule="auto"/>
        <w:rPr>
          <w:rFonts w:ascii="Times New Roman" w:hAnsi="Times New Roman" w:cs="Times New Roman"/>
          <w:b/>
          <w:sz w:val="24"/>
          <w:szCs w:val="24"/>
        </w:rPr>
      </w:pPr>
    </w:p>
    <w:p w:rsidR="00777600" w:rsidRDefault="00777600" w:rsidP="00777600">
      <w:pPr>
        <w:spacing w:line="480" w:lineRule="auto"/>
        <w:ind w:left="720" w:hanging="720"/>
        <w:jc w:val="center"/>
        <w:rPr>
          <w:rFonts w:ascii="Times New Roman" w:hAnsi="Times New Roman" w:cs="Times New Roman"/>
          <w:sz w:val="24"/>
          <w:szCs w:val="24"/>
        </w:rPr>
      </w:pPr>
    </w:p>
    <w:p w:rsidR="00777600" w:rsidRDefault="00777600" w:rsidP="00777600">
      <w:pPr>
        <w:spacing w:line="480" w:lineRule="auto"/>
        <w:ind w:left="720" w:hanging="720"/>
        <w:jc w:val="center"/>
        <w:rPr>
          <w:rFonts w:ascii="Times New Roman" w:hAnsi="Times New Roman" w:cs="Times New Roman"/>
          <w:sz w:val="24"/>
          <w:szCs w:val="24"/>
        </w:rPr>
      </w:pPr>
    </w:p>
    <w:p w:rsidR="00777600" w:rsidRDefault="00777600" w:rsidP="00777600">
      <w:pPr>
        <w:spacing w:line="480" w:lineRule="auto"/>
        <w:ind w:left="720" w:hanging="720"/>
        <w:jc w:val="center"/>
        <w:rPr>
          <w:rFonts w:ascii="Times New Roman" w:hAnsi="Times New Roman" w:cs="Times New Roman"/>
          <w:sz w:val="24"/>
          <w:szCs w:val="24"/>
        </w:rPr>
      </w:pPr>
    </w:p>
    <w:p w:rsidR="00777600" w:rsidRDefault="00777600" w:rsidP="00777600">
      <w:pPr>
        <w:spacing w:line="480" w:lineRule="auto"/>
        <w:ind w:left="720" w:hanging="720"/>
        <w:jc w:val="center"/>
        <w:rPr>
          <w:rFonts w:ascii="Times New Roman" w:hAnsi="Times New Roman" w:cs="Times New Roman"/>
          <w:sz w:val="24"/>
          <w:szCs w:val="24"/>
        </w:rPr>
      </w:pPr>
    </w:p>
    <w:p w:rsidR="00777600" w:rsidRDefault="00777600" w:rsidP="00777600">
      <w:pPr>
        <w:spacing w:line="480" w:lineRule="auto"/>
        <w:ind w:left="720" w:hanging="720"/>
        <w:jc w:val="center"/>
        <w:rPr>
          <w:rFonts w:ascii="Times New Roman" w:hAnsi="Times New Roman" w:cs="Times New Roman"/>
          <w:sz w:val="24"/>
          <w:szCs w:val="24"/>
        </w:rPr>
      </w:pPr>
    </w:p>
    <w:p w:rsidR="00777600" w:rsidRDefault="00777600" w:rsidP="00777600">
      <w:pPr>
        <w:spacing w:line="480" w:lineRule="auto"/>
        <w:ind w:left="720" w:hanging="720"/>
        <w:jc w:val="center"/>
        <w:rPr>
          <w:rFonts w:ascii="Times New Roman" w:hAnsi="Times New Roman" w:cs="Times New Roman"/>
          <w:sz w:val="24"/>
          <w:szCs w:val="24"/>
        </w:rPr>
      </w:pPr>
    </w:p>
    <w:p w:rsidR="00777600" w:rsidRDefault="00777600" w:rsidP="00777600">
      <w:pPr>
        <w:spacing w:line="480" w:lineRule="auto"/>
        <w:ind w:left="720" w:hanging="720"/>
        <w:jc w:val="center"/>
        <w:rPr>
          <w:rFonts w:ascii="Times New Roman" w:hAnsi="Times New Roman" w:cs="Times New Roman"/>
          <w:sz w:val="24"/>
          <w:szCs w:val="24"/>
        </w:rPr>
      </w:pPr>
    </w:p>
    <w:p w:rsidR="00777600" w:rsidRDefault="00777600" w:rsidP="00777600">
      <w:pPr>
        <w:spacing w:line="480" w:lineRule="auto"/>
        <w:ind w:left="720" w:hanging="720"/>
        <w:jc w:val="center"/>
        <w:rPr>
          <w:rFonts w:ascii="Times New Roman" w:hAnsi="Times New Roman" w:cs="Times New Roman"/>
          <w:sz w:val="24"/>
          <w:szCs w:val="24"/>
        </w:rPr>
      </w:pPr>
    </w:p>
    <w:p w:rsidR="009F43D7" w:rsidRPr="00777600" w:rsidRDefault="009F43D7" w:rsidP="00777600">
      <w:pPr>
        <w:spacing w:line="480" w:lineRule="auto"/>
        <w:ind w:left="720" w:hanging="720"/>
        <w:jc w:val="center"/>
        <w:rPr>
          <w:rFonts w:ascii="Times New Roman" w:hAnsi="Times New Roman" w:cs="Times New Roman"/>
          <w:sz w:val="24"/>
          <w:szCs w:val="24"/>
        </w:rPr>
      </w:pPr>
      <w:r w:rsidRPr="00777600">
        <w:rPr>
          <w:rFonts w:ascii="Times New Roman" w:hAnsi="Times New Roman" w:cs="Times New Roman"/>
          <w:sz w:val="24"/>
          <w:szCs w:val="24"/>
        </w:rPr>
        <w:lastRenderedPageBreak/>
        <w:t>References</w:t>
      </w:r>
    </w:p>
    <w:p w:rsidR="009F43D7" w:rsidRPr="00777600" w:rsidRDefault="009F43D7" w:rsidP="00777600">
      <w:pPr>
        <w:spacing w:line="480" w:lineRule="auto"/>
        <w:ind w:left="720" w:hanging="720"/>
        <w:rPr>
          <w:rFonts w:ascii="Times New Roman" w:hAnsi="Times New Roman" w:cs="Times New Roman"/>
          <w:sz w:val="24"/>
          <w:szCs w:val="24"/>
        </w:rPr>
      </w:pPr>
      <w:r w:rsidRPr="00777600">
        <w:rPr>
          <w:rFonts w:ascii="Times New Roman" w:hAnsi="Times New Roman" w:cs="Times New Roman"/>
          <w:sz w:val="24"/>
          <w:szCs w:val="24"/>
        </w:rPr>
        <w:t xml:space="preserve">Acocella, N. and Di Bartolomeo, G. and Piacquadio, P.G. [2009], </w:t>
      </w:r>
      <w:r w:rsidRPr="00777600">
        <w:rPr>
          <w:rFonts w:ascii="Times New Roman" w:hAnsi="Times New Roman" w:cs="Times New Roman"/>
          <w:i/>
          <w:iCs/>
          <w:sz w:val="24"/>
          <w:szCs w:val="24"/>
        </w:rPr>
        <w:t>‘Conflict of interest, (implicit) coalitions and Nash policy games’, in: ‘Economics Letters’,</w:t>
      </w:r>
      <w:r w:rsidRPr="00777600">
        <w:rPr>
          <w:rFonts w:ascii="Times New Roman" w:hAnsi="Times New Roman" w:cs="Times New Roman"/>
          <w:sz w:val="24"/>
          <w:szCs w:val="24"/>
        </w:rPr>
        <w:t xml:space="preserve"> 105: 303–305.ws</w:t>
      </w:r>
    </w:p>
    <w:p w:rsidR="009F43D7" w:rsidRPr="00777600" w:rsidRDefault="009F43D7" w:rsidP="00777600">
      <w:pPr>
        <w:spacing w:line="480" w:lineRule="auto"/>
        <w:ind w:left="720" w:hanging="720"/>
        <w:rPr>
          <w:rFonts w:ascii="Times New Roman" w:hAnsi="Times New Roman" w:cs="Times New Roman"/>
          <w:sz w:val="24"/>
          <w:szCs w:val="24"/>
        </w:rPr>
      </w:pPr>
      <w:r w:rsidRPr="00777600">
        <w:rPr>
          <w:rFonts w:ascii="Times New Roman" w:hAnsi="Times New Roman" w:cs="Times New Roman"/>
          <w:sz w:val="24"/>
          <w:szCs w:val="24"/>
        </w:rPr>
        <w:t xml:space="preserve">Komesaroff PA, Kerridge I, Lipworth W. “Conflicts of interest: new thinking, new processes”. Internal Medicine Journal. 49 (5); 2019: 574-577. </w:t>
      </w:r>
      <w:r w:rsidR="00777600">
        <w:rPr>
          <w:rFonts w:ascii="Times New Roman" w:hAnsi="Times New Roman" w:cs="Times New Roman"/>
          <w:sz w:val="24"/>
          <w:szCs w:val="24"/>
          <w:u w:val="single"/>
        </w:rPr>
        <w:t>https://doi.org/10.1111/imj.142</w:t>
      </w:r>
    </w:p>
    <w:p w:rsidR="009F43D7" w:rsidRPr="00777600" w:rsidRDefault="009F43D7" w:rsidP="00777600">
      <w:pPr>
        <w:spacing w:line="480" w:lineRule="auto"/>
        <w:ind w:left="720" w:hanging="720"/>
        <w:rPr>
          <w:rFonts w:ascii="Times New Roman" w:hAnsi="Times New Roman" w:cs="Times New Roman"/>
          <w:sz w:val="24"/>
          <w:szCs w:val="24"/>
        </w:rPr>
      </w:pPr>
      <w:r w:rsidRPr="00777600">
        <w:rPr>
          <w:rFonts w:ascii="Times New Roman" w:hAnsi="Times New Roman" w:cs="Times New Roman"/>
          <w:sz w:val="24"/>
          <w:szCs w:val="24"/>
        </w:rPr>
        <w:t xml:space="preserve">Sally Bean, Pragmatic and Proportional Analysis of Conflict of Interest, </w:t>
      </w:r>
      <w:r w:rsidR="00777600" w:rsidRPr="00777600">
        <w:rPr>
          <w:rFonts w:ascii="Times New Roman" w:hAnsi="Times New Roman" w:cs="Times New Roman"/>
          <w:i/>
          <w:iCs/>
          <w:sz w:val="24"/>
          <w:szCs w:val="24"/>
        </w:rPr>
        <w:t>the</w:t>
      </w:r>
      <w:r w:rsidRPr="00777600">
        <w:rPr>
          <w:rFonts w:ascii="Times New Roman" w:hAnsi="Times New Roman" w:cs="Times New Roman"/>
          <w:i/>
          <w:iCs/>
          <w:sz w:val="24"/>
          <w:szCs w:val="24"/>
        </w:rPr>
        <w:t xml:space="preserve"> American Journal of Bioethics</w:t>
      </w:r>
      <w:r w:rsidRPr="00777600">
        <w:rPr>
          <w:rFonts w:ascii="Times New Roman" w:hAnsi="Times New Roman" w:cs="Times New Roman"/>
          <w:sz w:val="24"/>
          <w:szCs w:val="24"/>
        </w:rPr>
        <w:t>, 10.1080/15265161.2010.534950, 11, 1, (39-40), (2011).</w:t>
      </w:r>
    </w:p>
    <w:p w:rsidR="009F43D7" w:rsidRPr="00777600" w:rsidRDefault="009F43D7" w:rsidP="00777600">
      <w:pPr>
        <w:spacing w:line="480" w:lineRule="auto"/>
        <w:ind w:left="720" w:hanging="720"/>
        <w:rPr>
          <w:rFonts w:ascii="Times New Roman" w:hAnsi="Times New Roman" w:cs="Times New Roman"/>
          <w:sz w:val="24"/>
          <w:szCs w:val="24"/>
        </w:rPr>
      </w:pPr>
      <w:r w:rsidRPr="00777600">
        <w:rPr>
          <w:rFonts w:ascii="Times New Roman" w:hAnsi="Times New Roman" w:cs="Times New Roman"/>
          <w:sz w:val="24"/>
          <w:szCs w:val="24"/>
        </w:rPr>
        <w:t xml:space="preserve">The Endocrine Society Ethics Advisory Committee:Ethical Aspects of Conflicts of Interests, </w:t>
      </w:r>
      <w:r w:rsidRPr="00777600">
        <w:rPr>
          <w:rFonts w:ascii="Times New Roman" w:hAnsi="Times New Roman" w:cs="Times New Roman"/>
          <w:i/>
          <w:iCs/>
          <w:sz w:val="24"/>
          <w:szCs w:val="24"/>
        </w:rPr>
        <w:t xml:space="preserve">The Journal of Clinical Endocrinology &amp; Metabolism, </w:t>
      </w:r>
      <w:r w:rsidRPr="00777600">
        <w:rPr>
          <w:rFonts w:ascii="Times New Roman" w:hAnsi="Times New Roman" w:cs="Times New Roman"/>
          <w:sz w:val="24"/>
          <w:szCs w:val="24"/>
        </w:rPr>
        <w:t>Volume 89, Issue 6, 1 June 2004, Pages 3067–3076, https://doi.org/10.1210/jcem.89.6.0189</w:t>
      </w:r>
    </w:p>
    <w:p w:rsidR="00123620" w:rsidRPr="00777600" w:rsidRDefault="00123620" w:rsidP="00777600">
      <w:pPr>
        <w:spacing w:line="480" w:lineRule="auto"/>
        <w:rPr>
          <w:rFonts w:ascii="Times New Roman" w:hAnsi="Times New Roman" w:cs="Times New Roman"/>
          <w:b/>
          <w:sz w:val="24"/>
          <w:szCs w:val="24"/>
        </w:rPr>
      </w:pPr>
    </w:p>
    <w:p w:rsidR="00123620" w:rsidRPr="00777600" w:rsidRDefault="00123620" w:rsidP="00777600">
      <w:pPr>
        <w:spacing w:line="480" w:lineRule="auto"/>
        <w:rPr>
          <w:rFonts w:ascii="Times New Roman" w:hAnsi="Times New Roman" w:cs="Times New Roman"/>
          <w:b/>
          <w:sz w:val="24"/>
          <w:szCs w:val="24"/>
        </w:rPr>
      </w:pPr>
    </w:p>
    <w:p w:rsidR="00A14F17" w:rsidRPr="00777600" w:rsidRDefault="00A14F17" w:rsidP="00777600">
      <w:pPr>
        <w:spacing w:line="480" w:lineRule="auto"/>
        <w:rPr>
          <w:rFonts w:ascii="Times New Roman" w:hAnsi="Times New Roman" w:cs="Times New Roman"/>
          <w:sz w:val="24"/>
          <w:szCs w:val="24"/>
        </w:rPr>
      </w:pPr>
      <w:r w:rsidRPr="00777600">
        <w:rPr>
          <w:rFonts w:ascii="Times New Roman" w:hAnsi="Times New Roman" w:cs="Times New Roman"/>
          <w:sz w:val="24"/>
          <w:szCs w:val="24"/>
        </w:rPr>
        <w:t xml:space="preserve"> </w:t>
      </w:r>
    </w:p>
    <w:sectPr w:rsidR="00A14F17" w:rsidRPr="00777600" w:rsidSect="0077760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E25" w:rsidRDefault="006E4E25" w:rsidP="009F43D7">
      <w:pPr>
        <w:spacing w:after="0" w:line="240" w:lineRule="auto"/>
      </w:pPr>
      <w:r>
        <w:separator/>
      </w:r>
    </w:p>
  </w:endnote>
  <w:endnote w:type="continuationSeparator" w:id="0">
    <w:p w:rsidR="006E4E25" w:rsidRDefault="006E4E25" w:rsidP="009F4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E25" w:rsidRDefault="006E4E25" w:rsidP="009F43D7">
      <w:pPr>
        <w:spacing w:after="0" w:line="240" w:lineRule="auto"/>
      </w:pPr>
      <w:r>
        <w:separator/>
      </w:r>
    </w:p>
  </w:footnote>
  <w:footnote w:type="continuationSeparator" w:id="0">
    <w:p w:rsidR="006E4E25" w:rsidRDefault="006E4E25" w:rsidP="009F4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740835"/>
      <w:docPartObj>
        <w:docPartGallery w:val="Page Numbers (Top of Page)"/>
        <w:docPartUnique/>
      </w:docPartObj>
    </w:sdtPr>
    <w:sdtEndPr>
      <w:rPr>
        <w:noProof/>
      </w:rPr>
    </w:sdtEndPr>
    <w:sdtContent>
      <w:p w:rsidR="00777600" w:rsidRDefault="00777600">
        <w:pPr>
          <w:pStyle w:val="Header"/>
          <w:jc w:val="right"/>
        </w:pPr>
        <w:r w:rsidRPr="00777600">
          <w:rPr>
            <w:rFonts w:ascii="Times New Roman" w:hAnsi="Times New Roman" w:cs="Times New Roman"/>
            <w:sz w:val="24"/>
            <w:szCs w:val="24"/>
          </w:rPr>
          <w:t>CONFLICT OF INTERESTS</w:t>
        </w:r>
        <w:r>
          <w:rPr>
            <w:rFonts w:ascii="Times New Roman" w:hAnsi="Times New Roman" w:cs="Times New Roman"/>
            <w:sz w:val="24"/>
            <w:szCs w:val="24"/>
          </w:rPr>
          <w:t xml:space="preserve">                                                                                                   </w:t>
        </w:r>
        <w:r w:rsidRPr="00777600">
          <w:rPr>
            <w:rFonts w:ascii="Times New Roman" w:hAnsi="Times New Roman" w:cs="Times New Roman"/>
            <w:sz w:val="24"/>
            <w:szCs w:val="24"/>
          </w:rPr>
          <w:t xml:space="preserve"> </w:t>
        </w:r>
        <w:r w:rsidRPr="00777600">
          <w:rPr>
            <w:rFonts w:ascii="Times New Roman" w:hAnsi="Times New Roman" w:cs="Times New Roman"/>
            <w:sz w:val="24"/>
            <w:szCs w:val="24"/>
          </w:rPr>
          <w:fldChar w:fldCharType="begin"/>
        </w:r>
        <w:r w:rsidRPr="00777600">
          <w:rPr>
            <w:rFonts w:ascii="Times New Roman" w:hAnsi="Times New Roman" w:cs="Times New Roman"/>
            <w:sz w:val="24"/>
            <w:szCs w:val="24"/>
          </w:rPr>
          <w:instrText xml:space="preserve"> PAGE   \* MERGEFORMAT </w:instrText>
        </w:r>
        <w:r w:rsidRPr="0077760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77600">
          <w:rPr>
            <w:rFonts w:ascii="Times New Roman" w:hAnsi="Times New Roman" w:cs="Times New Roman"/>
            <w:noProof/>
            <w:sz w:val="24"/>
            <w:szCs w:val="24"/>
          </w:rPr>
          <w:fldChar w:fldCharType="end"/>
        </w:r>
      </w:p>
    </w:sdtContent>
  </w:sdt>
  <w:p w:rsidR="009F43D7" w:rsidRDefault="009F4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600" w:rsidRDefault="00777600">
    <w:pPr>
      <w:pStyle w:val="Header"/>
      <w:jc w:val="right"/>
    </w:pPr>
    <w:r w:rsidRPr="00777600">
      <w:rPr>
        <w:rFonts w:ascii="Times New Roman" w:hAnsi="Times New Roman" w:cs="Times New Roman"/>
        <w:sz w:val="24"/>
        <w:szCs w:val="24"/>
      </w:rPr>
      <w:t xml:space="preserve">Running head: </w:t>
    </w:r>
    <w:r>
      <w:rPr>
        <w:rFonts w:ascii="Times New Roman" w:hAnsi="Times New Roman" w:cs="Times New Roman"/>
        <w:sz w:val="24"/>
        <w:szCs w:val="24"/>
      </w:rPr>
      <w:t xml:space="preserve">CONFLICT OF INTERESTS     </w:t>
    </w:r>
    <w:r w:rsidRPr="00777600">
      <w:rPr>
        <w:rFonts w:ascii="Times New Roman" w:hAnsi="Times New Roman" w:cs="Times New Roman"/>
        <w:sz w:val="24"/>
        <w:szCs w:val="24"/>
      </w:rPr>
      <w:t xml:space="preserve">                                                                       </w:t>
    </w:r>
    <w:sdt>
      <w:sdtPr>
        <w:id w:val="-6683267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77600" w:rsidRDefault="00777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C745E7"/>
    <w:multiLevelType w:val="hybridMultilevel"/>
    <w:tmpl w:val="FC82BC98"/>
    <w:lvl w:ilvl="0" w:tplc="A936EA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605"/>
    <w:rsid w:val="00123620"/>
    <w:rsid w:val="003A250A"/>
    <w:rsid w:val="004F2605"/>
    <w:rsid w:val="005C1DA3"/>
    <w:rsid w:val="00653EA5"/>
    <w:rsid w:val="006E4E25"/>
    <w:rsid w:val="00777600"/>
    <w:rsid w:val="007E307A"/>
    <w:rsid w:val="00920B1B"/>
    <w:rsid w:val="009F43D7"/>
    <w:rsid w:val="00A14F17"/>
    <w:rsid w:val="00F30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B5077"/>
  <w15:chartTrackingRefBased/>
  <w15:docId w15:val="{DB1349BA-D82A-4CAE-BD90-6F7D1E1F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0B1B"/>
    <w:pPr>
      <w:ind w:left="720"/>
      <w:contextualSpacing/>
    </w:pPr>
  </w:style>
  <w:style w:type="character" w:styleId="Hyperlink">
    <w:name w:val="Hyperlink"/>
    <w:basedOn w:val="DefaultParagraphFont"/>
    <w:uiPriority w:val="99"/>
    <w:unhideWhenUsed/>
    <w:rsid w:val="009F43D7"/>
    <w:rPr>
      <w:color w:val="0563C1" w:themeColor="hyperlink"/>
      <w:u w:val="single"/>
    </w:rPr>
  </w:style>
  <w:style w:type="paragraph" w:styleId="Header">
    <w:name w:val="header"/>
    <w:basedOn w:val="Normal"/>
    <w:link w:val="HeaderChar"/>
    <w:uiPriority w:val="99"/>
    <w:unhideWhenUsed/>
    <w:rsid w:val="009F4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3D7"/>
  </w:style>
  <w:style w:type="paragraph" w:styleId="Footer">
    <w:name w:val="footer"/>
    <w:basedOn w:val="Normal"/>
    <w:link w:val="FooterChar"/>
    <w:uiPriority w:val="99"/>
    <w:unhideWhenUsed/>
    <w:rsid w:val="009F4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368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KEN</cp:lastModifiedBy>
  <cp:revision>4</cp:revision>
  <dcterms:created xsi:type="dcterms:W3CDTF">2019-12-03T17:12:00Z</dcterms:created>
  <dcterms:modified xsi:type="dcterms:W3CDTF">2019-12-03T18:51:00Z</dcterms:modified>
</cp:coreProperties>
</file>